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cstheme="minorEastAsia"/>
          <w:b/>
          <w:bCs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kern w:val="2"/>
          <w:sz w:val="24"/>
          <w:szCs w:val="24"/>
          <w:u w:val="none"/>
          <w:lang w:val="en-US" w:eastAsia="zh-CN" w:bidi="ar-SA"/>
        </w:rPr>
        <w:t>东方帝维招标产品明细：</w:t>
      </w:r>
    </w:p>
    <w:tbl>
      <w:tblPr>
        <w:tblStyle w:val="4"/>
        <w:tblpPr w:leftFromText="180" w:rightFromText="180" w:vertAnchor="text" w:horzAnchor="page" w:tblpX="1804" w:tblpY="210"/>
        <w:tblOverlap w:val="never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535"/>
        <w:gridCol w:w="1375"/>
        <w:gridCol w:w="1710"/>
        <w:gridCol w:w="1702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75" w:type="dxa"/>
            <w:shd w:val="clear" w:color="auto" w:fill="BEBEBE" w:themeFill="background1" w:themeFillShade="B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0" w:colLast="5"/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35" w:type="dxa"/>
            <w:shd w:val="clear" w:color="auto" w:fill="BEBEBE" w:themeFill="background1" w:themeFillShade="B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375" w:type="dxa"/>
            <w:shd w:val="clear" w:color="auto" w:fill="BEBEBE" w:themeFill="background1" w:themeFillShade="B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710" w:type="dxa"/>
            <w:shd w:val="clear" w:color="auto" w:fill="BEBEBE" w:themeFill="background1" w:themeFillShade="B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质量要求</w:t>
            </w:r>
          </w:p>
        </w:tc>
        <w:tc>
          <w:tcPr>
            <w:tcW w:w="1702" w:type="dxa"/>
            <w:shd w:val="clear" w:color="auto" w:fill="BEBEBE" w:themeFill="background1" w:themeFillShade="BF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554"/>
              </w:tabs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材质要求</w:t>
            </w:r>
          </w:p>
        </w:tc>
        <w:tc>
          <w:tcPr>
            <w:tcW w:w="1419" w:type="dxa"/>
            <w:shd w:val="clear" w:color="auto" w:fill="BEBEBE" w:themeFill="background1" w:themeFillShade="B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数量（个）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7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01</w:t>
            </w:r>
          </w:p>
        </w:tc>
        <w:tc>
          <w:tcPr>
            <w:tcW w:w="153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兽用液体疫苗塑料瓶 </w:t>
            </w:r>
          </w:p>
        </w:tc>
        <w:tc>
          <w:tcPr>
            <w:tcW w:w="13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25ml</w:t>
            </w:r>
          </w:p>
        </w:tc>
        <w:tc>
          <w:tcPr>
            <w:tcW w:w="17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5.4±0.3g</w:t>
            </w:r>
          </w:p>
        </w:tc>
        <w:tc>
          <w:tcPr>
            <w:tcW w:w="170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聚丙烯磨砂（PP）</w:t>
            </w:r>
          </w:p>
        </w:tc>
        <w:tc>
          <w:tcPr>
            <w:tcW w:w="141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7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25ml</w:t>
            </w:r>
          </w:p>
        </w:tc>
        <w:tc>
          <w:tcPr>
            <w:tcW w:w="17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5.4±0.3g</w:t>
            </w:r>
          </w:p>
        </w:tc>
        <w:tc>
          <w:tcPr>
            <w:tcW w:w="170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聚乙烯透明</w:t>
            </w:r>
          </w:p>
        </w:tc>
        <w:tc>
          <w:tcPr>
            <w:tcW w:w="141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7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30ml</w:t>
            </w:r>
          </w:p>
        </w:tc>
        <w:tc>
          <w:tcPr>
            <w:tcW w:w="17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6.3±0.3g</w:t>
            </w:r>
          </w:p>
        </w:tc>
        <w:tc>
          <w:tcPr>
            <w:tcW w:w="170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高密度聚乙烯（HDPE）</w:t>
            </w:r>
          </w:p>
        </w:tc>
        <w:tc>
          <w:tcPr>
            <w:tcW w:w="1419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7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50ml</w:t>
            </w:r>
          </w:p>
        </w:tc>
        <w:tc>
          <w:tcPr>
            <w:tcW w:w="17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12.0±0.5g</w:t>
            </w:r>
          </w:p>
        </w:tc>
        <w:tc>
          <w:tcPr>
            <w:tcW w:w="170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高密度聚乙烯（HDPE）</w:t>
            </w:r>
          </w:p>
        </w:tc>
        <w:tc>
          <w:tcPr>
            <w:tcW w:w="1419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7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50ml</w:t>
            </w:r>
          </w:p>
        </w:tc>
        <w:tc>
          <w:tcPr>
            <w:tcW w:w="17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12.0±0.5g</w:t>
            </w:r>
          </w:p>
        </w:tc>
        <w:tc>
          <w:tcPr>
            <w:tcW w:w="170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聚乙烯透明</w:t>
            </w:r>
          </w:p>
        </w:tc>
        <w:tc>
          <w:tcPr>
            <w:tcW w:w="1419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7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100ml</w:t>
            </w:r>
          </w:p>
        </w:tc>
        <w:tc>
          <w:tcPr>
            <w:tcW w:w="17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23.2±1g</w:t>
            </w:r>
          </w:p>
        </w:tc>
        <w:tc>
          <w:tcPr>
            <w:tcW w:w="170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高密度聚乙烯（HDPE）</w:t>
            </w:r>
          </w:p>
        </w:tc>
        <w:tc>
          <w:tcPr>
            <w:tcW w:w="1419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7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250ml</w:t>
            </w:r>
          </w:p>
        </w:tc>
        <w:tc>
          <w:tcPr>
            <w:tcW w:w="17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36.0±2g</w:t>
            </w:r>
          </w:p>
        </w:tc>
        <w:tc>
          <w:tcPr>
            <w:tcW w:w="170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高密度聚乙烯（HDPE）</w:t>
            </w:r>
          </w:p>
        </w:tc>
        <w:tc>
          <w:tcPr>
            <w:tcW w:w="1419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7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02</w:t>
            </w:r>
          </w:p>
        </w:tc>
        <w:tc>
          <w:tcPr>
            <w:tcW w:w="153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低硼硅玻璃管制瓶</w:t>
            </w:r>
          </w:p>
        </w:tc>
        <w:tc>
          <w:tcPr>
            <w:tcW w:w="13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10ml</w:t>
            </w:r>
          </w:p>
        </w:tc>
        <w:tc>
          <w:tcPr>
            <w:tcW w:w="17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符合国家标准</w:t>
            </w:r>
          </w:p>
        </w:tc>
        <w:tc>
          <w:tcPr>
            <w:tcW w:w="170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7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12ml   (特规瓶）</w:t>
            </w:r>
          </w:p>
        </w:tc>
        <w:tc>
          <w:tcPr>
            <w:tcW w:w="17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</w:rPr>
              <w:t>瓶身外径（</w:t>
            </w:r>
            <w:r>
              <w:rPr>
                <w:color w:val="auto"/>
              </w:rPr>
              <w:t>mm</w:t>
            </w:r>
            <w:r>
              <w:rPr>
                <w:rFonts w:hint="eastAsia"/>
                <w:color w:val="auto"/>
              </w:rPr>
              <w:t>）</w:t>
            </w:r>
            <w:r>
              <w:rPr>
                <w:rFonts w:hint="eastAsia"/>
                <w:color w:val="auto"/>
                <w:lang w:eastAsia="zh-CN"/>
              </w:rPr>
              <w:t>：</w:t>
            </w:r>
            <w:r>
              <w:rPr>
                <w:rFonts w:hint="eastAsia"/>
                <w:color w:val="auto"/>
              </w:rPr>
              <w:t>24.3</w:t>
            </w:r>
            <w:r>
              <w:rPr>
                <w:rFonts w:hint="eastAsia"/>
                <w:color w:val="auto"/>
                <w:lang w:val="en-US" w:eastAsia="zh-CN"/>
              </w:rPr>
              <w:t>0</w:t>
            </w:r>
            <w:r>
              <w:rPr>
                <w:rFonts w:hint="eastAsia"/>
                <w:color w:val="auto"/>
              </w:rPr>
              <w:t>+0.25 /-0.35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color w:val="auto"/>
              </w:rPr>
              <w:t>瓶口外径（</w:t>
            </w:r>
            <w:r>
              <w:rPr>
                <w:color w:val="auto"/>
              </w:rPr>
              <w:t>mm</w:t>
            </w:r>
            <w:r>
              <w:rPr>
                <w:rFonts w:hint="eastAsia"/>
                <w:color w:val="auto"/>
              </w:rPr>
              <w:t>）</w:t>
            </w:r>
            <w:r>
              <w:rPr>
                <w:rFonts w:hint="eastAsia"/>
                <w:color w:val="auto"/>
                <w:lang w:eastAsia="zh-CN"/>
              </w:rPr>
              <w:t>：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rFonts w:hint="eastAsia"/>
                <w:color w:val="auto"/>
                <w:lang w:val="en-US"/>
              </w:rPr>
              <w:t>9.6</w:t>
            </w:r>
            <w:r>
              <w:rPr>
                <w:rFonts w:hint="eastAsia"/>
                <w:color w:val="auto"/>
                <w:lang w:val="en-US" w:eastAsia="zh-CN"/>
              </w:rPr>
              <w:t>0</w:t>
            </w:r>
            <w:r>
              <w:rPr>
                <w:rFonts w:hint="eastAsia"/>
                <w:color w:val="auto"/>
                <w:lang w:val="en-US"/>
              </w:rPr>
              <w:t>±</w:t>
            </w:r>
            <w:r>
              <w:rPr>
                <w:rFonts w:hint="eastAsia"/>
                <w:color w:val="auto"/>
              </w:rPr>
              <w:t>0.20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color w:val="auto"/>
                <w:lang w:val="en-US"/>
              </w:rPr>
              <w:t>瓶口内径</w:t>
            </w:r>
            <w:r>
              <w:rPr>
                <w:rFonts w:hint="eastAsia"/>
                <w:color w:val="auto"/>
              </w:rPr>
              <w:t>（</w:t>
            </w:r>
            <w:r>
              <w:rPr>
                <w:color w:val="auto"/>
              </w:rPr>
              <w:t>mm</w:t>
            </w:r>
            <w:r>
              <w:rPr>
                <w:rFonts w:hint="eastAsia"/>
                <w:color w:val="auto"/>
              </w:rPr>
              <w:t>）</w:t>
            </w:r>
            <w:r>
              <w:rPr>
                <w:rFonts w:hint="eastAsia"/>
                <w:color w:val="auto"/>
                <w:lang w:eastAsia="zh-CN"/>
              </w:rPr>
              <w:t>：</w:t>
            </w:r>
            <w:r>
              <w:rPr>
                <w:rFonts w:hint="eastAsia"/>
                <w:color w:val="auto"/>
                <w:lang w:val="en-US"/>
              </w:rPr>
              <w:t>12.6</w:t>
            </w:r>
            <w:r>
              <w:rPr>
                <w:rFonts w:hint="eastAsia"/>
                <w:color w:val="auto"/>
                <w:lang w:val="en-US" w:eastAsia="zh-CN"/>
              </w:rPr>
              <w:t>0</w:t>
            </w:r>
            <w:r>
              <w:rPr>
                <w:rFonts w:hint="eastAsia"/>
                <w:color w:val="auto"/>
                <w:lang w:val="en-US"/>
              </w:rPr>
              <w:t>±0.20</w:t>
            </w:r>
            <w:r>
              <w:rPr>
                <w:rFonts w:hint="eastAsia"/>
                <w:color w:val="auto"/>
                <w:lang w:val="en-US" w:eastAsia="zh-CN"/>
              </w:rPr>
              <w:t>；</w:t>
            </w:r>
            <w:r>
              <w:rPr>
                <w:rFonts w:hint="eastAsia"/>
                <w:color w:val="auto"/>
                <w:lang w:val="en-US"/>
              </w:rPr>
              <w:t>瓶身全高</w:t>
            </w:r>
            <w:r>
              <w:rPr>
                <w:rFonts w:hint="eastAsia"/>
                <w:color w:val="auto"/>
              </w:rPr>
              <w:t>（</w:t>
            </w:r>
            <w:r>
              <w:rPr>
                <w:color w:val="auto"/>
              </w:rPr>
              <w:t>mm</w:t>
            </w:r>
            <w:r>
              <w:rPr>
                <w:rFonts w:hint="eastAsia"/>
                <w:color w:val="auto"/>
              </w:rPr>
              <w:t>）</w:t>
            </w:r>
            <w:r>
              <w:rPr>
                <w:rFonts w:hint="eastAsia"/>
                <w:color w:val="auto"/>
                <w:lang w:eastAsia="zh-CN"/>
              </w:rPr>
              <w:t>：</w:t>
            </w:r>
            <w:r>
              <w:rPr>
                <w:rFonts w:hint="eastAsia"/>
                <w:color w:val="auto"/>
              </w:rPr>
              <w:t>44.5</w:t>
            </w:r>
            <w:r>
              <w:rPr>
                <w:rFonts w:hint="eastAsia"/>
                <w:color w:val="auto"/>
                <w:lang w:val="en-US" w:eastAsia="zh-CN"/>
              </w:rPr>
              <w:t>0</w:t>
            </w:r>
            <w:r>
              <w:rPr>
                <w:rFonts w:hint="eastAsia"/>
                <w:color w:val="auto"/>
                <w:lang w:val="en-US"/>
              </w:rPr>
              <w:t>±0.50</w:t>
            </w:r>
            <w:r>
              <w:rPr>
                <w:rFonts w:hint="eastAsia"/>
                <w:color w:val="auto"/>
                <w:lang w:val="en-US" w:eastAsia="zh-CN"/>
              </w:rPr>
              <w:t>；</w:t>
            </w:r>
            <w:r>
              <w:rPr>
                <w:rFonts w:hint="eastAsia"/>
                <w:color w:val="auto"/>
                <w:lang w:val="en-US"/>
              </w:rPr>
              <w:t>瓶口边厚</w:t>
            </w:r>
            <w:r>
              <w:rPr>
                <w:rFonts w:hint="eastAsia"/>
                <w:color w:val="auto"/>
              </w:rPr>
              <w:t>（</w:t>
            </w:r>
            <w:r>
              <w:rPr>
                <w:color w:val="auto"/>
              </w:rPr>
              <w:t>mm</w:t>
            </w:r>
            <w:r>
              <w:rPr>
                <w:rFonts w:hint="eastAsia"/>
                <w:color w:val="auto"/>
              </w:rPr>
              <w:t>）</w:t>
            </w:r>
            <w:r>
              <w:rPr>
                <w:rFonts w:hint="eastAsia"/>
                <w:color w:val="auto"/>
                <w:lang w:eastAsia="zh-CN"/>
              </w:rPr>
              <w:t>：</w:t>
            </w:r>
            <w:r>
              <w:rPr>
                <w:rFonts w:hint="eastAsia"/>
                <w:color w:val="auto"/>
                <w:lang w:val="en-US"/>
              </w:rPr>
              <w:t>3.90±0.20</w:t>
            </w:r>
          </w:p>
        </w:tc>
        <w:tc>
          <w:tcPr>
            <w:tcW w:w="170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cstheme="minorEastAsia"/>
          <w:b w:val="0"/>
          <w:kern w:val="2"/>
          <w:sz w:val="24"/>
          <w:szCs w:val="24"/>
          <w:u w:val="none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718"/>
        </w:tabs>
        <w:spacing w:line="360" w:lineRule="auto"/>
        <w:ind w:left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储存: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生产用疫苗瓶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应保存在干燥条件下，远离化学物质、昆虫及其它虫害物。</w:t>
      </w:r>
    </w:p>
    <w:p>
      <w:pPr>
        <w:numPr>
          <w:ilvl w:val="0"/>
          <w:numId w:val="0"/>
        </w:numPr>
        <w:tabs>
          <w:tab w:val="left" w:pos="718"/>
        </w:tabs>
        <w:spacing w:line="360" w:lineRule="auto"/>
        <w:ind w:left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包装: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采用纸箱包装。</w:t>
      </w:r>
    </w:p>
    <w:p>
      <w:pPr>
        <w:numPr>
          <w:ilvl w:val="0"/>
          <w:numId w:val="0"/>
        </w:numPr>
        <w:tabs>
          <w:tab w:val="left" w:pos="718"/>
        </w:tabs>
        <w:spacing w:line="360" w:lineRule="auto"/>
        <w:ind w:left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运输: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运输过程中应防止剧烈震动，轻拿轻放，保证包装完整，箱内产品质量无损。</w:t>
      </w:r>
    </w:p>
    <w:p>
      <w:pPr>
        <w:numPr>
          <w:ilvl w:val="0"/>
          <w:numId w:val="0"/>
        </w:numPr>
        <w:tabs>
          <w:tab w:val="left" w:pos="718"/>
        </w:tabs>
        <w:spacing w:line="360" w:lineRule="auto"/>
        <w:ind w:left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随货单据: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送货单，应至少含以下内容</w:t>
      </w:r>
    </w:p>
    <w:p>
      <w:pPr>
        <w:spacing w:line="360" w:lineRule="auto"/>
        <w:ind w:leftChars="100" w:firstLine="1200" w:firstLineChars="5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厂家名称</w:t>
      </w:r>
    </w:p>
    <w:p>
      <w:pPr>
        <w:spacing w:line="360" w:lineRule="auto"/>
        <w:ind w:left="210" w:leftChars="100" w:firstLine="1200" w:firstLineChars="5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产品名称及规格</w:t>
      </w:r>
    </w:p>
    <w:p>
      <w:pPr>
        <w:spacing w:line="360" w:lineRule="auto"/>
        <w:ind w:left="210" w:leftChars="100" w:firstLine="1200" w:firstLineChars="5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生产日期或批号</w:t>
      </w:r>
    </w:p>
    <w:p>
      <w:pPr>
        <w:spacing w:line="360" w:lineRule="auto"/>
        <w:ind w:left="210" w:leftChars="100" w:firstLine="1200" w:firstLineChars="5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送交量</w:t>
      </w:r>
    </w:p>
    <w:p>
      <w:pPr>
        <w:spacing w:line="360" w:lineRule="auto"/>
        <w:ind w:left="210" w:leftChars="100" w:firstLine="1200" w:firstLineChars="5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材质供应商应提供材质证明或检验报告或合格证</w:t>
      </w:r>
    </w:p>
    <w:p>
      <w:pPr>
        <w:ind w:leftChars="10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6E18"/>
    <w:multiLevelType w:val="singleLevel"/>
    <w:tmpl w:val="02A16E1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C4625"/>
    <w:rsid w:val="070E1139"/>
    <w:rsid w:val="1AFA4251"/>
    <w:rsid w:val="1DE1445F"/>
    <w:rsid w:val="208560CD"/>
    <w:rsid w:val="29EE690C"/>
    <w:rsid w:val="2FA079FE"/>
    <w:rsid w:val="4F8B3DF8"/>
    <w:rsid w:val="5A183880"/>
    <w:rsid w:val="5B935C3D"/>
    <w:rsid w:val="6BAF0D12"/>
    <w:rsid w:val="729D7FA6"/>
    <w:rsid w:val="7B117614"/>
    <w:rsid w:val="7EEB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演绎一个人的坚强</cp:lastModifiedBy>
  <dcterms:modified xsi:type="dcterms:W3CDTF">2019-03-05T04:45:49Z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